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6A" w:rsidRDefault="008E3C6A" w:rsidP="008E3C6A">
      <w:pPr>
        <w:suppressAutoHyphens/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1922C2">
        <w:rPr>
          <w:rFonts w:ascii="Calibri" w:hAnsi="Calibri"/>
          <w:b/>
          <w:sz w:val="24"/>
          <w:szCs w:val="24"/>
        </w:rPr>
        <w:t>ΠΙΝΑΚΑΣ ΣΥΜΜΟΡΦΩΣΗΣ</w:t>
      </w:r>
    </w:p>
    <w:tbl>
      <w:tblPr>
        <w:tblW w:w="10064" w:type="dxa"/>
        <w:tblInd w:w="-714" w:type="dxa"/>
        <w:tblLook w:val="04A0" w:firstRow="1" w:lastRow="0" w:firstColumn="1" w:lastColumn="0" w:noHBand="0" w:noVBand="1"/>
      </w:tblPr>
      <w:tblGrid>
        <w:gridCol w:w="666"/>
        <w:gridCol w:w="6280"/>
        <w:gridCol w:w="1559"/>
        <w:gridCol w:w="1559"/>
      </w:tblGrid>
      <w:tr w:rsidR="008E3C6A" w:rsidRPr="00347A74" w:rsidTr="00CA084B">
        <w:trPr>
          <w:cantSplit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t>ΠΡΟΔΙΑΓΡΑΦΗ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347A74">
              <w:rPr>
                <w:rFonts w:ascii="Calibri" w:hAnsi="Calibri" w:cs="Times New Roman"/>
                <w:b/>
                <w:bCs/>
                <w:color w:val="000000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347A74">
              <w:rPr>
                <w:rFonts w:ascii="Calibri" w:hAnsi="Calibri" w:cs="Times New Roman"/>
                <w:b/>
                <w:bCs/>
                <w:color w:val="000000"/>
              </w:rPr>
              <w:t>ΑΠΑΝΤΗΣΗ</w:t>
            </w:r>
          </w:p>
        </w:tc>
      </w:tr>
      <w:tr w:rsidR="008E3C6A" w:rsidRPr="00347A74" w:rsidTr="00CA084B">
        <w:trPr>
          <w:cantSplit/>
          <w:trHeight w:val="9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</w:t>
            </w:r>
            <w:r w:rsidRPr="00347A74">
              <w:rPr>
                <w:rFonts w:ascii="Calibri" w:hAnsi="Calibri" w:cs="Times New Roman"/>
                <w:color w:val="000000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C6A" w:rsidRPr="00231466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Ο ανάδοχος αναλαμβάνει τη συντήρηση και</w:t>
            </w:r>
            <w:r w:rsidRPr="006B16F9">
              <w:rPr>
                <w:rFonts w:ascii="Calibri" w:hAnsi="Calibri" w:cs="Times New Roman"/>
                <w:color w:val="000000"/>
              </w:rPr>
              <w:t xml:space="preserve"> </w:t>
            </w:r>
            <w:r>
              <w:rPr>
                <w:rFonts w:ascii="Calibri" w:hAnsi="Calibri" w:cs="Times New Roman"/>
                <w:color w:val="000000"/>
              </w:rPr>
              <w:t>υ</w:t>
            </w:r>
            <w:r w:rsidRPr="006B16F9">
              <w:rPr>
                <w:rFonts w:ascii="Calibri" w:hAnsi="Calibri" w:cs="Times New Roman"/>
                <w:color w:val="000000"/>
              </w:rPr>
              <w:t xml:space="preserve">ποστήριξη </w:t>
            </w:r>
            <w:r>
              <w:rPr>
                <w:rFonts w:ascii="Calibri" w:hAnsi="Calibri" w:cs="Times New Roman"/>
                <w:color w:val="000000"/>
              </w:rPr>
              <w:t xml:space="preserve">του </w:t>
            </w:r>
            <w:r w:rsidRPr="006B16F9">
              <w:rPr>
                <w:rFonts w:ascii="Calibri" w:hAnsi="Calibri" w:cs="Times New Roman"/>
                <w:color w:val="000000"/>
              </w:rPr>
              <w:t xml:space="preserve">κεντρικού εξοπλισμού και </w:t>
            </w:r>
            <w:r>
              <w:rPr>
                <w:rFonts w:ascii="Calibri" w:hAnsi="Calibri" w:cs="Times New Roman"/>
                <w:color w:val="000000"/>
              </w:rPr>
              <w:t xml:space="preserve">την </w:t>
            </w:r>
            <w:r w:rsidRPr="006B16F9">
              <w:rPr>
                <w:rFonts w:ascii="Calibri" w:hAnsi="Calibri" w:cs="Times New Roman"/>
                <w:color w:val="000000"/>
              </w:rPr>
              <w:t>αποκατάσταση των βλαβών υλικού και του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6B16F9">
              <w:rPr>
                <w:rFonts w:ascii="Calibri" w:hAnsi="Calibri" w:cs="Times New Roman"/>
                <w:color w:val="000000"/>
              </w:rPr>
              <w:t>λογισμικού</w:t>
            </w:r>
            <w:r>
              <w:rPr>
                <w:rFonts w:ascii="Calibri" w:hAnsi="Calibri" w:cs="Times New Roman"/>
                <w:color w:val="000000"/>
              </w:rPr>
              <w:t xml:space="preserve"> που διεκπεραιώνουν τον εναλλακτικό τρόπο μετάδοσης των θεμάτων των εξετάσεων του ΥΠ.Π.Ε.Θ., για χρονικό διάστημα επτά (7) μηνών από την υπογραφή της σύμβασης.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FF0000"/>
              </w:rPr>
            </w:pPr>
            <w:r w:rsidRPr="00347A74">
              <w:rPr>
                <w:rFonts w:ascii="Calibri" w:hAnsi="Calibri" w:cs="Times New Roman"/>
                <w:color w:val="FF0000"/>
              </w:rPr>
              <w:t> </w:t>
            </w:r>
          </w:p>
        </w:tc>
      </w:tr>
      <w:tr w:rsidR="008E3C6A" w:rsidRPr="00347A74" w:rsidTr="00CA084B">
        <w:trPr>
          <w:cantSplit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</w:t>
            </w:r>
            <w:r w:rsidRPr="00347A74">
              <w:rPr>
                <w:rFonts w:ascii="Calibri" w:hAnsi="Calibri" w:cs="Times New Roman"/>
                <w:color w:val="000000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Ο α</w:t>
            </w:r>
            <w:r w:rsidRPr="006B16F9">
              <w:rPr>
                <w:rFonts w:ascii="Calibri" w:hAnsi="Calibri" w:cs="Times New Roman"/>
                <w:color w:val="000000"/>
              </w:rPr>
              <w:t>νάδοχος φροντίζει για την αποκατάσταση των βλαβών υλικού με την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6B16F9">
              <w:rPr>
                <w:rFonts w:ascii="Calibri" w:hAnsi="Calibri" w:cs="Times New Roman"/>
                <w:color w:val="000000"/>
              </w:rPr>
              <w:t>προμήθεια και την αντικατάσταση των ανταλλακτικών και την επαναφορά του υλικού και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6B16F9">
              <w:rPr>
                <w:rFonts w:ascii="Calibri" w:hAnsi="Calibri" w:cs="Times New Roman"/>
                <w:color w:val="000000"/>
              </w:rPr>
              <w:t>του λογισμικού ευθύνης του σε λειτουργική κατάσταση.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12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6B16F9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Ο α</w:t>
            </w:r>
            <w:r w:rsidRPr="006B16F9">
              <w:rPr>
                <w:rFonts w:ascii="Calibri" w:hAnsi="Calibri" w:cs="Times New Roman"/>
                <w:color w:val="000000"/>
              </w:rPr>
              <w:t xml:space="preserve">νάδοχος υποχρεούται να πραγματοποιεί </w:t>
            </w:r>
            <w:r w:rsidRPr="006B16F9">
              <w:rPr>
                <w:rFonts w:ascii="Calibri" w:hAnsi="Calibri" w:cs="Times New Roman"/>
                <w:b/>
                <w:color w:val="000000"/>
              </w:rPr>
              <w:t>Ενημερώσεις</w:t>
            </w:r>
            <w:r w:rsidRPr="006B16F9">
              <w:rPr>
                <w:rFonts w:ascii="Calibri" w:hAnsi="Calibri" w:cs="Times New Roman"/>
                <w:color w:val="000000"/>
              </w:rPr>
              <w:t xml:space="preserve"> στο λειτουργικό σύστημα και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6B16F9">
              <w:rPr>
                <w:rFonts w:ascii="Calibri" w:hAnsi="Calibri" w:cs="Times New Roman"/>
                <w:color w:val="000000"/>
              </w:rPr>
              <w:t>τις εφαρμογές των εξυπηρετητών, εφόσον είναι αναγκαίες και επιτρεπόμενες (πάντα σε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6B16F9">
              <w:rPr>
                <w:rFonts w:ascii="Calibri" w:hAnsi="Calibri" w:cs="Times New Roman"/>
                <w:color w:val="000000"/>
              </w:rPr>
              <w:t xml:space="preserve">συνεργασία 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6B16F9">
              <w:rPr>
                <w:rFonts w:ascii="Calibri" w:hAnsi="Calibri" w:cs="Times New Roman"/>
                <w:color w:val="000000"/>
              </w:rPr>
              <w:t>και μετά από την σχετική</w:t>
            </w:r>
            <w:r>
              <w:rPr>
                <w:rFonts w:ascii="Calibri" w:hAnsi="Calibri" w:cs="Times New Roman"/>
                <w:color w:val="000000"/>
              </w:rPr>
              <w:t xml:space="preserve"> έγκριση της Αναθέτουσας Αρχής) και να </w:t>
            </w:r>
            <w:r w:rsidRPr="006B16F9">
              <w:rPr>
                <w:rFonts w:ascii="Calibri" w:hAnsi="Calibri" w:cs="Times New Roman"/>
                <w:color w:val="000000"/>
              </w:rPr>
              <w:t>εκτελεί τη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6B16F9">
              <w:rPr>
                <w:rFonts w:ascii="Calibri" w:hAnsi="Calibri" w:cs="Times New Roman"/>
                <w:color w:val="000000"/>
              </w:rPr>
              <w:t>μεταφορά δεδομένων σε περιπτώσεις αντικατάστασης του υλικού.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9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</w:t>
            </w:r>
            <w:r w:rsidRPr="00347A74">
              <w:rPr>
                <w:rFonts w:ascii="Calibri" w:hAnsi="Calibri" w:cs="Times New Roman"/>
                <w:color w:val="000000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 w:rsidRPr="00B871AC">
              <w:rPr>
                <w:rFonts w:ascii="Calibri" w:hAnsi="Calibri" w:cs="Times New Roman"/>
                <w:color w:val="000000"/>
              </w:rPr>
              <w:t>Η επέμβαση για την αποκατάσταση των βλαβών του κεντρικού εξοπλισμού και του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αντίστοιχου λογισμικού θα πραγματοποιείται εντός 4 ωρών κατά τις εργάσιμες ημέρες και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ώρες. Θα παρέχεται αρχικά τεχνική υποστήριξη από τηλεφώνου στην υπεύθυνη ομάδα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του ΥΠ.Π.Ε.Θ.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Αν διαπιστωθεί ότι είναι απαραίτητο, θα μεταβαίνει τεχνικός επιτόπου. Σε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οποιαδήποτε περίπτωση πάντως η επιδιόρθωση πρέπει να έχει ολοκληρωθεί εντός 24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ωρών. Σε αντίθετη περίπτωση ο ανάδοχος επιβαρύνεται με ρήτρα διακοσίων Ευρώ (200 €)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για κάθε μέρα καθυστέρησης</w:t>
            </w:r>
            <w:r>
              <w:rPr>
                <w:rFonts w:ascii="Calibri" w:hAnsi="Calibri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9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1.</w:t>
            </w:r>
            <w:r w:rsidRPr="00347A74">
              <w:rPr>
                <w:rFonts w:ascii="Calibri" w:hAnsi="Calibri" w:cs="Times New Roman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 w:rsidRPr="00B871AC">
              <w:rPr>
                <w:rFonts w:ascii="Calibri" w:hAnsi="Calibri" w:cs="Times New Roman"/>
                <w:color w:val="000000"/>
              </w:rPr>
              <w:t>Το κόστος προμήθειας των αναγκαίων ανταλλακτικών βαρύνει τον Ανάδοχο.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Σημειώνεται πως εάν η αντικατάσταση μερών του εξοπλισμού (ανταλλακτικά) δεν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επαναφέρει τον εξοπλισμό στο επιθυμητό επίπεδο λειτουργίας, τότε ο Ανάδοχος με δικά</w:t>
            </w:r>
            <w:r>
              <w:rPr>
                <w:rFonts w:ascii="Calibri" w:hAnsi="Calibri" w:cs="Times New Roman"/>
                <w:color w:val="000000"/>
              </w:rPr>
              <w:t xml:space="preserve"> </w:t>
            </w:r>
            <w:r w:rsidRPr="00B871AC">
              <w:rPr>
                <w:rFonts w:ascii="Calibri" w:hAnsi="Calibri" w:cs="Times New Roman"/>
                <w:color w:val="000000"/>
              </w:rPr>
              <w:t>του έξοδα και δαπάνες οφείλει να αντικαταστήσει τον εξοπλισμό με ισοδύναμο ή ανώτερο ο οποίος θα είναι καινούργιος και αχρησιμοποίητος.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</w:t>
            </w:r>
            <w:r w:rsidRPr="00347A74">
              <w:rPr>
                <w:rFonts w:ascii="Calibri" w:hAnsi="Calibri" w:cs="Times New Roman"/>
                <w:color w:val="000000"/>
              </w:rPr>
              <w:t>6.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C6A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Ο ανάδοχος παρέχει προληπτική συντήρηση του υλικού η οποία περιλαμβάνει αναλυτικότερα:</w:t>
            </w:r>
          </w:p>
          <w:p w:rsidR="008E3C6A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Α. </w:t>
            </w:r>
            <w:r w:rsidRPr="00BB7912">
              <w:rPr>
                <w:rFonts w:ascii="Calibri" w:hAnsi="Calibri" w:cs="Times New Roman"/>
                <w:color w:val="000000"/>
              </w:rPr>
              <w:t>Ο ανάδοχος κάθε δεκαπέντε ημέρες πραγματοποιεί διαγνωστικό έλεγχο του υλικού για να εντοπίσει πιθανά λάθη. Σε περίπτωση που εντοπιστούν λάθη τότε ενεργοποιεί τη διαδικασία αποκατάστασης βλαβών υλικού.</w:t>
            </w:r>
          </w:p>
          <w:p w:rsidR="008E3C6A" w:rsidRPr="00347A74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Β. </w:t>
            </w:r>
            <w:r w:rsidRPr="002F5131">
              <w:rPr>
                <w:rFonts w:ascii="Calibri" w:hAnsi="Calibri" w:cs="Times New Roman"/>
                <w:color w:val="000000"/>
              </w:rPr>
              <w:t>Ο ανάδοχος τουλάχιστον μία φορά το εξάμηνο πραγματοποιεί ετήσια προληπτική συντήρηση των εξυπηρετητών που περιλαμβάνουν: καθαρισμό από τη σκόνη, έλεγχο του υλικού από τα αρχεία καταγραφής (</w:t>
            </w:r>
            <w:proofErr w:type="spellStart"/>
            <w:r w:rsidRPr="002F5131">
              <w:rPr>
                <w:rFonts w:ascii="Calibri" w:hAnsi="Calibri" w:cs="Times New Roman"/>
                <w:color w:val="000000"/>
              </w:rPr>
              <w:t>log</w:t>
            </w:r>
            <w:proofErr w:type="spellEnd"/>
            <w:r w:rsidRPr="002F5131">
              <w:rPr>
                <w:rFonts w:ascii="Calibri" w:hAnsi="Calibri" w:cs="Times New Roman"/>
                <w:color w:val="000000"/>
              </w:rPr>
              <w:t xml:space="preserve"> </w:t>
            </w:r>
            <w:proofErr w:type="spellStart"/>
            <w:r w:rsidRPr="002F5131">
              <w:rPr>
                <w:rFonts w:ascii="Calibri" w:hAnsi="Calibri" w:cs="Times New Roman"/>
                <w:color w:val="000000"/>
              </w:rPr>
              <w:t>files</w:t>
            </w:r>
            <w:proofErr w:type="spellEnd"/>
            <w:r w:rsidRPr="002F5131">
              <w:rPr>
                <w:rFonts w:ascii="Calibri" w:hAnsi="Calibri" w:cs="Times New Roman"/>
                <w:color w:val="000000"/>
              </w:rPr>
              <w:t>) του λειτουργικού συστήματος. Σε περίπτωση που εντοπιστούν λάθη τότε ενεργοποιεί τη διαδικασία για την αποκατάσταση βλαβών υλικού.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FF0000"/>
              </w:rPr>
            </w:pPr>
            <w:r w:rsidRPr="00347A74">
              <w:rPr>
                <w:rFonts w:ascii="Calibri" w:hAnsi="Calibri" w:cs="Times New Roman"/>
                <w:color w:val="FF0000"/>
              </w:rPr>
              <w:t> </w:t>
            </w:r>
          </w:p>
        </w:tc>
      </w:tr>
      <w:tr w:rsidR="008E3C6A" w:rsidRPr="00347A74" w:rsidTr="00CA084B">
        <w:trPr>
          <w:cantSplit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lastRenderedPageBreak/>
              <w:t>1.7.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Ο ανάδοχος αναλαμβάνει τ</w:t>
            </w:r>
            <w:r w:rsidRPr="002F5131">
              <w:rPr>
                <w:rFonts w:ascii="Calibri" w:hAnsi="Calibri" w:cs="Times New Roman"/>
                <w:color w:val="000000"/>
              </w:rPr>
              <w:t>ην Υποστήριξη του εξοπλισμού (</w:t>
            </w:r>
            <w:proofErr w:type="spellStart"/>
            <w:r w:rsidRPr="002F5131">
              <w:rPr>
                <w:rFonts w:ascii="Calibri" w:hAnsi="Calibri" w:cs="Times New Roman"/>
                <w:color w:val="000000"/>
              </w:rPr>
              <w:t>modem</w:t>
            </w:r>
            <w:proofErr w:type="spellEnd"/>
            <w:r w:rsidRPr="002F5131">
              <w:rPr>
                <w:rFonts w:ascii="Calibri" w:hAnsi="Calibri" w:cs="Times New Roman"/>
                <w:color w:val="000000"/>
              </w:rPr>
              <w:t xml:space="preserve">) και του λογισμικού των αποδεκτών. Θα παρέχεται υποστήριξη των </w:t>
            </w:r>
            <w:proofErr w:type="spellStart"/>
            <w:r w:rsidRPr="002F5131">
              <w:rPr>
                <w:rFonts w:ascii="Calibri" w:hAnsi="Calibri" w:cs="Times New Roman"/>
                <w:color w:val="000000"/>
              </w:rPr>
              <w:t>modems</w:t>
            </w:r>
            <w:proofErr w:type="spellEnd"/>
            <w:r w:rsidRPr="002F5131">
              <w:rPr>
                <w:rFonts w:ascii="Calibri" w:hAnsi="Calibri" w:cs="Times New Roman"/>
                <w:color w:val="000000"/>
              </w:rPr>
              <w:t xml:space="preserve"> και του λογισμικού λειτουργίας τους (</w:t>
            </w:r>
            <w:proofErr w:type="spellStart"/>
            <w:r w:rsidRPr="002F5131">
              <w:rPr>
                <w:rFonts w:ascii="Calibri" w:hAnsi="Calibri" w:cs="Times New Roman"/>
                <w:color w:val="000000"/>
              </w:rPr>
              <w:t>driver</w:t>
            </w:r>
            <w:proofErr w:type="spellEnd"/>
            <w:r w:rsidRPr="002F5131">
              <w:rPr>
                <w:rFonts w:ascii="Calibri" w:hAnsi="Calibri" w:cs="Times New Roman"/>
                <w:color w:val="000000"/>
              </w:rPr>
              <w:t>) καθώς και της εφαρμογής «εναλλακτικός τρόπος ανάκτησης θεμάτων» των αποδεκτών.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1.8</w:t>
            </w:r>
            <w:r w:rsidRPr="00347A74">
              <w:rPr>
                <w:rFonts w:ascii="Calibri" w:hAnsi="Calibri" w:cs="Times New Roman"/>
                <w:color w:val="000000"/>
              </w:rPr>
              <w:t>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djustRightInd w:val="0"/>
              <w:rPr>
                <w:rFonts w:ascii="Calibri" w:hAnsi="Calibri" w:cs="Times New Roman"/>
                <w:color w:val="000000"/>
              </w:rPr>
            </w:pPr>
            <w:r w:rsidRPr="0029206E">
              <w:rPr>
                <w:rFonts w:ascii="Calibri" w:hAnsi="Calibri" w:cs="Calibri"/>
                <w:color w:val="000000"/>
                <w:szCs w:val="23"/>
              </w:rPr>
              <w:t>Ο ανάδοχος πραγματοποιεί</w:t>
            </w:r>
            <w:r w:rsidRPr="002E2DB1">
              <w:rPr>
                <w:rFonts w:ascii="Calibri" w:hAnsi="Calibri" w:cs="Calibri"/>
                <w:color w:val="000000"/>
                <w:szCs w:val="23"/>
              </w:rPr>
              <w:t xml:space="preserve"> </w:t>
            </w:r>
            <w:r w:rsidRPr="002E2DB1">
              <w:rPr>
                <w:rFonts w:ascii="Calibri" w:hAnsi="Calibri" w:cs="Calibri"/>
                <w:b/>
                <w:bCs/>
                <w:color w:val="000000"/>
                <w:szCs w:val="23"/>
              </w:rPr>
              <w:t xml:space="preserve">Ομαδοποίηση των αποδεκτών </w:t>
            </w:r>
            <w:r w:rsidRPr="002E2DB1">
              <w:rPr>
                <w:rFonts w:ascii="Calibri" w:hAnsi="Calibri" w:cs="Calibri"/>
                <w:color w:val="000000"/>
                <w:szCs w:val="23"/>
              </w:rPr>
              <w:t xml:space="preserve">ανάλογα με τις εκάστοτε ανάγκες.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1.9.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djustRightInd w:val="0"/>
              <w:jc w:val="both"/>
              <w:rPr>
                <w:rFonts w:ascii="Calibri" w:hAnsi="Calibri" w:cs="Times New Roman"/>
                <w:color w:val="000000"/>
              </w:rPr>
            </w:pPr>
            <w:r w:rsidRPr="0029206E">
              <w:rPr>
                <w:rFonts w:ascii="Calibri" w:hAnsi="Calibri" w:cs="Calibri"/>
                <w:color w:val="000000"/>
                <w:szCs w:val="23"/>
              </w:rPr>
              <w:t xml:space="preserve">Ο ανάδοχος παρέχει </w:t>
            </w:r>
            <w:r w:rsidRPr="0029206E">
              <w:rPr>
                <w:rFonts w:ascii="Calibri" w:hAnsi="Calibri" w:cs="Calibri"/>
                <w:b/>
                <w:color w:val="000000"/>
                <w:szCs w:val="23"/>
              </w:rPr>
              <w:t>ε</w:t>
            </w:r>
            <w:r w:rsidRPr="002E2DB1">
              <w:rPr>
                <w:rFonts w:ascii="Calibri" w:hAnsi="Calibri" w:cs="Calibri"/>
                <w:b/>
                <w:bCs/>
                <w:color w:val="000000"/>
                <w:szCs w:val="23"/>
              </w:rPr>
              <w:t xml:space="preserve">κπαίδευση </w:t>
            </w:r>
            <w:r w:rsidRPr="0029206E">
              <w:rPr>
                <w:rFonts w:ascii="Calibri" w:hAnsi="Calibri" w:cs="Calibri"/>
                <w:b/>
                <w:bCs/>
                <w:color w:val="000000"/>
                <w:szCs w:val="23"/>
              </w:rPr>
              <w:t>του προσωπικού</w:t>
            </w:r>
            <w:r w:rsidRPr="002E2DB1">
              <w:rPr>
                <w:rFonts w:ascii="Calibri" w:hAnsi="Calibri" w:cs="Calibri"/>
                <w:b/>
                <w:bCs/>
                <w:color w:val="000000"/>
                <w:szCs w:val="23"/>
              </w:rPr>
              <w:t xml:space="preserve"> του ΥΠ.Π.Ε.Θ. </w:t>
            </w:r>
            <w:r w:rsidRPr="002E2DB1">
              <w:rPr>
                <w:rFonts w:ascii="Calibri" w:hAnsi="Calibri" w:cs="Calibri"/>
                <w:color w:val="000000"/>
                <w:szCs w:val="23"/>
              </w:rPr>
              <w:t xml:space="preserve">στο λογισμικό που έχει εγκατασταθεί στην Κ.Υ του ΥΠ.Π.Ε.Θ.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11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1.10.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CD01CD" w:rsidRDefault="008E3C6A" w:rsidP="00722653">
            <w:pPr>
              <w:adjustRightInd w:val="0"/>
              <w:rPr>
                <w:rFonts w:ascii="Calibri" w:hAnsi="Calibri" w:cs="Times New Roman"/>
                <w:color w:val="000000"/>
              </w:rPr>
            </w:pPr>
            <w:r w:rsidRPr="0029206E">
              <w:rPr>
                <w:rFonts w:ascii="Calibri" w:hAnsi="Calibri" w:cs="Calibri"/>
                <w:color w:val="000000"/>
                <w:szCs w:val="23"/>
              </w:rPr>
              <w:t xml:space="preserve">Ο ανάδοχος αναλαμβάνει την </w:t>
            </w:r>
            <w:r w:rsidRPr="0029206E">
              <w:rPr>
                <w:rFonts w:ascii="Calibri" w:hAnsi="Calibri" w:cs="Calibri"/>
                <w:b/>
                <w:bCs/>
                <w:color w:val="000000"/>
                <w:szCs w:val="23"/>
              </w:rPr>
              <w:t>Αναβάθμιση – Επέκταση - Βελτίωση του λογισμικού που λειτουργεί στην ΚΥ του ΥΠ.Π.Ε.Θ. και στους αποδέκτες</w:t>
            </w:r>
            <w:r w:rsidRPr="0029206E">
              <w:rPr>
                <w:rFonts w:ascii="Calibri" w:hAnsi="Calibri" w:cs="Calibri"/>
                <w:color w:val="000000"/>
                <w:szCs w:val="23"/>
              </w:rPr>
              <w:t>, κατόπιν συνεννόησης των εμπλεκομένων μερών, όποτε αυτή κρίνεται λειτουργικά απαραίτητη από τους χρήστες.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NAI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6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1.11.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djustRightInd w:val="0"/>
              <w:rPr>
                <w:rFonts w:ascii="Calibri" w:hAnsi="Calibri" w:cs="Times New Roman"/>
                <w:color w:val="000000"/>
              </w:rPr>
            </w:pPr>
            <w:r w:rsidRPr="0098511F">
              <w:rPr>
                <w:rFonts w:ascii="Calibri" w:hAnsi="Calibri" w:cs="Calibri"/>
                <w:bCs/>
                <w:color w:val="000000"/>
                <w:szCs w:val="23"/>
              </w:rPr>
              <w:t>Η αναθέτουσα αρχή</w:t>
            </w:r>
            <w:r w:rsidRPr="004B5075">
              <w:rPr>
                <w:rFonts w:ascii="Calibri" w:hAnsi="Calibri" w:cs="Calibri"/>
                <w:bCs/>
                <w:color w:val="000000"/>
                <w:szCs w:val="23"/>
              </w:rPr>
              <w:t xml:space="preserve"> διατηρεί το δικαίωμα να ζητήσει από τον ανάδοχο</w:t>
            </w:r>
            <w:r w:rsidRPr="0098511F">
              <w:rPr>
                <w:rFonts w:ascii="Calibri" w:hAnsi="Calibri" w:cs="Calibri"/>
                <w:bCs/>
                <w:color w:val="000000"/>
                <w:szCs w:val="23"/>
              </w:rPr>
              <w:t xml:space="preserve"> έ</w:t>
            </w:r>
            <w:r w:rsidRPr="004B5075">
              <w:rPr>
                <w:rFonts w:ascii="Calibri" w:hAnsi="Calibri" w:cs="Calibri"/>
                <w:bCs/>
                <w:color w:val="000000"/>
                <w:szCs w:val="23"/>
              </w:rPr>
              <w:t>λεγχο συμβατότητας για νέα μέρη του συστήματος</w:t>
            </w:r>
            <w:r w:rsidRPr="004B5075">
              <w:rPr>
                <w:rFonts w:ascii="Calibri" w:hAnsi="Calibri" w:cs="Calibri"/>
                <w:b/>
                <w:bCs/>
                <w:color w:val="000000"/>
                <w:szCs w:val="23"/>
              </w:rPr>
              <w:t xml:space="preserve"> </w:t>
            </w:r>
            <w:r w:rsidRPr="004B5075">
              <w:rPr>
                <w:rFonts w:ascii="Calibri" w:hAnsi="Calibri" w:cs="Calibri"/>
                <w:color w:val="000000"/>
                <w:szCs w:val="23"/>
              </w:rPr>
              <w:t xml:space="preserve">(Λειτουργικό Σύστημα, αντιβιοτικά, </w:t>
            </w:r>
            <w:proofErr w:type="spellStart"/>
            <w:r w:rsidRPr="004B5075">
              <w:rPr>
                <w:rFonts w:ascii="Calibri" w:hAnsi="Calibri" w:cs="Calibri"/>
                <w:color w:val="000000"/>
                <w:szCs w:val="23"/>
              </w:rPr>
              <w:t>Acrobat</w:t>
            </w:r>
            <w:proofErr w:type="spellEnd"/>
            <w:r w:rsidRPr="004B5075">
              <w:rPr>
                <w:rFonts w:ascii="Calibri" w:hAnsi="Calibri" w:cs="Calibri"/>
                <w:color w:val="000000"/>
                <w:szCs w:val="23"/>
              </w:rPr>
              <w:t xml:space="preserve"> </w:t>
            </w:r>
            <w:proofErr w:type="spellStart"/>
            <w:r w:rsidRPr="004B5075">
              <w:rPr>
                <w:rFonts w:ascii="Calibri" w:hAnsi="Calibri" w:cs="Calibri"/>
                <w:color w:val="000000"/>
                <w:szCs w:val="23"/>
              </w:rPr>
              <w:t>Reader</w:t>
            </w:r>
            <w:proofErr w:type="spellEnd"/>
            <w:r w:rsidRPr="004B5075">
              <w:rPr>
                <w:rFonts w:ascii="Calibri" w:hAnsi="Calibri" w:cs="Calibri"/>
                <w:color w:val="000000"/>
                <w:szCs w:val="23"/>
              </w:rPr>
              <w:t xml:space="preserve"> </w:t>
            </w:r>
            <w:proofErr w:type="spellStart"/>
            <w:r w:rsidRPr="004B5075">
              <w:rPr>
                <w:rFonts w:ascii="Calibri" w:hAnsi="Calibri" w:cs="Calibri"/>
                <w:color w:val="000000"/>
                <w:szCs w:val="23"/>
              </w:rPr>
              <w:t>κλπ</w:t>
            </w:r>
            <w:proofErr w:type="spellEnd"/>
            <w:r w:rsidRPr="004B5075">
              <w:rPr>
                <w:rFonts w:ascii="Calibri" w:hAnsi="Calibri" w:cs="Calibri"/>
                <w:color w:val="000000"/>
                <w:szCs w:val="23"/>
              </w:rPr>
              <w:t>)</w:t>
            </w:r>
            <w:r>
              <w:rPr>
                <w:rFonts w:ascii="Calibri" w:hAnsi="Calibri" w:cs="Calibri"/>
                <w:color w:val="000000"/>
                <w:szCs w:val="23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  <w:tr w:rsidR="008E3C6A" w:rsidRPr="00347A74" w:rsidTr="00CA084B">
        <w:trPr>
          <w:cantSplit/>
          <w:trHeight w:val="9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1.12.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F77238" w:rsidRDefault="008E3C6A" w:rsidP="00722653">
            <w:p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Ειδικά σε περιόδους εξετάσεων, π</w:t>
            </w:r>
            <w:r w:rsidRPr="00F77238">
              <w:rPr>
                <w:rFonts w:ascii="Calibri" w:hAnsi="Calibri" w:cs="Times New Roman"/>
                <w:color w:val="000000"/>
              </w:rPr>
              <w:t>λέον των γενικών προαναφερθεισών υπηρεσιών, κατά τις περιόδους των εξετάσεων θα προσφέρονται και οι παρακάτω υπηρεσίες:</w:t>
            </w:r>
          </w:p>
          <w:p w:rsidR="008E3C6A" w:rsidRPr="00F77238" w:rsidRDefault="008E3C6A" w:rsidP="00722653">
            <w:pPr>
              <w:numPr>
                <w:ilvl w:val="0"/>
                <w:numId w:val="1"/>
              </w:num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 w:rsidRPr="00F77238">
              <w:rPr>
                <w:rFonts w:ascii="Calibri" w:hAnsi="Calibri" w:cs="Times New Roman"/>
                <w:color w:val="000000"/>
              </w:rPr>
              <w:t xml:space="preserve">Πριν από τις εξετάσεις θα διενεργείται </w:t>
            </w:r>
            <w:r>
              <w:rPr>
                <w:rFonts w:ascii="Calibri" w:hAnsi="Calibri" w:cs="Times New Roman"/>
                <w:color w:val="000000"/>
              </w:rPr>
              <w:t xml:space="preserve">από τον ανάδοχο </w:t>
            </w:r>
            <w:r w:rsidRPr="00F77238">
              <w:rPr>
                <w:rFonts w:ascii="Calibri" w:hAnsi="Calibri" w:cs="Times New Roman"/>
                <w:color w:val="000000"/>
              </w:rPr>
              <w:t>πάγιος τεχνικός έλεγχος όλου του εξοπλισμού και λογισμικού που β</w:t>
            </w:r>
            <w:r>
              <w:rPr>
                <w:rFonts w:ascii="Calibri" w:hAnsi="Calibri" w:cs="Times New Roman"/>
                <w:color w:val="000000"/>
              </w:rPr>
              <w:t>ρίσκονται εγκατεστημένα στο κτήριο της Γενικής Γραμματείας Παιδείας και Θρησκευμάτων</w:t>
            </w:r>
            <w:r w:rsidRPr="00F77238">
              <w:rPr>
                <w:rFonts w:ascii="Calibri" w:hAnsi="Calibri" w:cs="Times New Roman"/>
                <w:color w:val="000000"/>
              </w:rPr>
              <w:t xml:space="preserve"> του ΥΠ.Π.Ε.Θ. Έκτακτοι έλεγχοι θα διενεργούνται κατόπιν αιτήματος του ΥΠ.Π.Ε.Θ. και σε χρονικό διάστημα που αυτό θα ορίζει.</w:t>
            </w:r>
          </w:p>
          <w:p w:rsidR="008E3C6A" w:rsidRPr="00F77238" w:rsidRDefault="008E3C6A" w:rsidP="00722653">
            <w:pPr>
              <w:numPr>
                <w:ilvl w:val="0"/>
                <w:numId w:val="1"/>
              </w:num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 w:rsidRPr="00F77238">
              <w:rPr>
                <w:rFonts w:ascii="Calibri" w:hAnsi="Calibri" w:cs="Times New Roman"/>
                <w:color w:val="000000"/>
              </w:rPr>
              <w:t xml:space="preserve">Ένας μηχανικός υποστήριξης θα παρευρίσκεται </w:t>
            </w:r>
            <w:r>
              <w:rPr>
                <w:rFonts w:ascii="Calibri" w:hAnsi="Calibri" w:cs="Times New Roman"/>
                <w:color w:val="000000"/>
              </w:rPr>
              <w:t>στο κτήριο της Γενικής Γραμματείας Παιδείας και Θρησκευμάτων του ΥΠ.Π.Ε.Θ.</w:t>
            </w:r>
            <w:r w:rsidRPr="00F77238">
              <w:rPr>
                <w:rFonts w:ascii="Calibri" w:hAnsi="Calibri" w:cs="Times New Roman"/>
                <w:color w:val="000000"/>
              </w:rPr>
              <w:t xml:space="preserve"> για όση ώρα διαρκούν οι εξετάσεις, ώστε να παρέχει υπηρεσίες άμεσης υποστήριξης και αποκατάστασης βλαβών στον εκεί ευρισκόμενο εξοπλισμό και λογισμικό του εναλλακτικού τρόπου ανάκτησης θεμάτων. Ο ίδιος μηχανικός θα παρέχει τηλεφωνική υποστήριξη για βλάβες που θα αναφέρονται από τους αποδέκτες.</w:t>
            </w:r>
          </w:p>
          <w:p w:rsidR="008E3C6A" w:rsidRPr="00347A74" w:rsidRDefault="008E3C6A" w:rsidP="00722653">
            <w:pPr>
              <w:numPr>
                <w:ilvl w:val="0"/>
                <w:numId w:val="1"/>
              </w:numPr>
              <w:suppressAutoHyphens/>
              <w:autoSpaceDE/>
              <w:autoSpaceDN/>
              <w:spacing w:line="276" w:lineRule="auto"/>
              <w:jc w:val="both"/>
              <w:rPr>
                <w:rFonts w:ascii="Calibri" w:hAnsi="Calibri" w:cs="Times New Roman"/>
                <w:color w:val="000000"/>
              </w:rPr>
            </w:pPr>
            <w:r w:rsidRPr="00F77238">
              <w:rPr>
                <w:rFonts w:ascii="Calibri" w:hAnsi="Calibri" w:cs="Times New Roman"/>
                <w:color w:val="000000"/>
              </w:rPr>
              <w:t>Ο χρόνος επιδιόρθωσ</w:t>
            </w:r>
            <w:r>
              <w:rPr>
                <w:rFonts w:ascii="Calibri" w:hAnsi="Calibri" w:cs="Times New Roman"/>
                <w:color w:val="000000"/>
              </w:rPr>
              <w:t>ης οποιασδήποτε βλάβης στο κτήριο της Γενικής Γραμματείας Παιδείας και Θρησκευμάτων</w:t>
            </w:r>
            <w:r w:rsidRPr="00F77238">
              <w:rPr>
                <w:rFonts w:ascii="Calibri" w:hAnsi="Calibri" w:cs="Times New Roman"/>
                <w:color w:val="000000"/>
              </w:rPr>
              <w:t xml:space="preserve"> του ΥΠ.Π.Ε.Θ. δεν μπορεί να υπερβαίνει τις τρεις (3) ώρες. Σε περίπτωση που δεν τηρηθεί η προθεσμία των τριών (3) ωρών που αναφέρεται παραπάνω, ο ανάδοχος επιβαρύνεται με ρήτρα διακοσίων Ευρώ (200 €) για κάθε ώρα καθυστέρησης, είτε αυτή επηρεάζει την μετάδοση των θεμάτων, και διακοσίων Ευρώ (200 €) είτε δεν επηρεάζει την μετάδοση των θεμάτων.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ΝΑΙ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C6A" w:rsidRPr="00347A74" w:rsidRDefault="008E3C6A" w:rsidP="00722653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  <w:r w:rsidRPr="00347A74">
              <w:rPr>
                <w:rFonts w:ascii="Calibri" w:hAnsi="Calibri" w:cs="Times New Roman"/>
                <w:color w:val="000000"/>
              </w:rPr>
              <w:t> </w:t>
            </w:r>
          </w:p>
        </w:tc>
      </w:tr>
    </w:tbl>
    <w:p w:rsidR="005C2CE5" w:rsidRDefault="005C2CE5" w:rsidP="005C2CE5">
      <w:pPr>
        <w:tabs>
          <w:tab w:val="left" w:pos="711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</w:t>
      </w:r>
    </w:p>
    <w:p w:rsidR="008E3C6A" w:rsidRPr="005C2CE5" w:rsidRDefault="005C2CE5" w:rsidP="005C2CE5">
      <w:pPr>
        <w:tabs>
          <w:tab w:val="left" w:pos="711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Υπογραφή – Σφραγίδα   </w:t>
      </w:r>
      <w:r>
        <w:rPr>
          <w:rFonts w:ascii="Calibri" w:hAnsi="Calibri"/>
          <w:sz w:val="24"/>
          <w:szCs w:val="24"/>
        </w:rPr>
        <w:br/>
        <w:t xml:space="preserve">                                                                                                   (από τον νόμιμο εκπρόσωπο)</w:t>
      </w:r>
    </w:p>
    <w:sectPr w:rsidR="008E3C6A" w:rsidRPr="005C2CE5" w:rsidSect="008E3C6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2491F"/>
    <w:multiLevelType w:val="hybridMultilevel"/>
    <w:tmpl w:val="FF1A1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6A"/>
    <w:rsid w:val="005C2CE5"/>
    <w:rsid w:val="008E3C6A"/>
    <w:rsid w:val="009B46D2"/>
    <w:rsid w:val="00C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BE5A9-F560-4FE3-A24A-BA80495A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6A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2</cp:revision>
  <dcterms:created xsi:type="dcterms:W3CDTF">2017-04-13T10:50:00Z</dcterms:created>
  <dcterms:modified xsi:type="dcterms:W3CDTF">2017-04-13T11:09:00Z</dcterms:modified>
</cp:coreProperties>
</file>